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B3553">
        <w:rPr>
          <w:sz w:val="28"/>
        </w:rPr>
        <w:t>Rathausuhr</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CB3553" w:rsidTr="00CB3553">
        <w:tc>
          <w:tcPr>
            <w:tcW w:w="2466" w:type="dxa"/>
            <w:tcBorders>
              <w:top w:val="single" w:sz="4" w:space="0" w:color="auto"/>
            </w:tcBorders>
            <w:vAlign w:val="center"/>
          </w:tcPr>
          <w:p w:rsidR="00CB3553" w:rsidRDefault="00CB3553" w:rsidP="002C18AC">
            <w:pPr>
              <w:pStyle w:val="IQB-Merkmal"/>
            </w:pPr>
            <w:r>
              <w:t>Leitidee</w:t>
            </w:r>
          </w:p>
        </w:tc>
        <w:tc>
          <w:tcPr>
            <w:tcW w:w="6604" w:type="dxa"/>
            <w:tcBorders>
              <w:top w:val="single" w:sz="4" w:space="0" w:color="auto"/>
            </w:tcBorders>
          </w:tcPr>
          <w:p w:rsidR="00CB3553" w:rsidRDefault="00CB3553" w:rsidP="002C18AC">
            <w:pPr>
              <w:pStyle w:val="IQB-Merkmalswert"/>
            </w:pPr>
            <w:r>
              <w:t>1. Zahl</w:t>
            </w:r>
          </w:p>
        </w:tc>
      </w:tr>
      <w:tr w:rsidR="00CB3553" w:rsidTr="00CB3553">
        <w:tc>
          <w:tcPr>
            <w:tcW w:w="2466" w:type="dxa"/>
            <w:vAlign w:val="center"/>
          </w:tcPr>
          <w:p w:rsidR="00CB3553" w:rsidRDefault="00CB3553" w:rsidP="002C18AC">
            <w:pPr>
              <w:pStyle w:val="IQB-Merkmal"/>
            </w:pPr>
            <w:r>
              <w:t>Allgemeine Kompetenz</w:t>
            </w:r>
          </w:p>
        </w:tc>
        <w:tc>
          <w:tcPr>
            <w:tcW w:w="6604" w:type="dxa"/>
          </w:tcPr>
          <w:p w:rsidR="00CB3553" w:rsidRDefault="00CB3553" w:rsidP="002C18AC">
            <w:pPr>
              <w:pStyle w:val="IQB-Merkmalswert"/>
            </w:pPr>
            <w:r>
              <w:t>Mit Mathematik symbolisch/ formal/ technisch umgehen (K5),</w:t>
            </w:r>
          </w:p>
          <w:p w:rsidR="00CB3553" w:rsidRDefault="00CB3553" w:rsidP="002C18AC">
            <w:pPr>
              <w:pStyle w:val="IQB-Merkmalswert"/>
            </w:pPr>
            <w:r>
              <w:t>Mathematisch kommunizieren (K6)</w:t>
            </w:r>
          </w:p>
        </w:tc>
      </w:tr>
      <w:tr w:rsidR="00CB3553" w:rsidTr="00CB3553">
        <w:tc>
          <w:tcPr>
            <w:tcW w:w="2466" w:type="dxa"/>
            <w:vAlign w:val="center"/>
          </w:tcPr>
          <w:p w:rsidR="00CB3553" w:rsidRDefault="00CB3553" w:rsidP="002C18AC">
            <w:pPr>
              <w:pStyle w:val="IQB-Merkmal"/>
            </w:pPr>
            <w:r>
              <w:t>Anforderungsbereich</w:t>
            </w:r>
          </w:p>
        </w:tc>
        <w:tc>
          <w:tcPr>
            <w:tcW w:w="6604" w:type="dxa"/>
          </w:tcPr>
          <w:p w:rsidR="00CB3553" w:rsidRDefault="00CB3553" w:rsidP="002C18AC">
            <w:pPr>
              <w:pStyle w:val="IQB-Merkmalswert"/>
            </w:pPr>
            <w:r>
              <w:t>I</w:t>
            </w:r>
          </w:p>
        </w:tc>
      </w:tr>
      <w:tr w:rsidR="00CB3553" w:rsidTr="00CB3553">
        <w:tc>
          <w:tcPr>
            <w:tcW w:w="2466" w:type="dxa"/>
            <w:tcBorders>
              <w:bottom w:val="single" w:sz="4" w:space="0" w:color="auto"/>
            </w:tcBorders>
            <w:vAlign w:val="center"/>
          </w:tcPr>
          <w:p w:rsidR="00CB3553" w:rsidRDefault="00CB3553" w:rsidP="002C18AC">
            <w:pPr>
              <w:pStyle w:val="IQB-Merkmal"/>
            </w:pPr>
            <w:r>
              <w:t>Kompetenzstufe</w:t>
            </w:r>
          </w:p>
        </w:tc>
        <w:tc>
          <w:tcPr>
            <w:tcW w:w="6604" w:type="dxa"/>
            <w:tcBorders>
              <w:bottom w:val="single" w:sz="4" w:space="0" w:color="auto"/>
            </w:tcBorders>
          </w:tcPr>
          <w:p w:rsidR="00CB3553" w:rsidRDefault="00CB3553" w:rsidP="002C18AC">
            <w:pPr>
              <w:pStyle w:val="IQB-Merkmalswert"/>
            </w:pPr>
            <w:r>
              <w:t>3</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CB3553" w:rsidTr="00CB3553">
        <w:tc>
          <w:tcPr>
            <w:tcW w:w="2466" w:type="dxa"/>
            <w:tcBorders>
              <w:top w:val="single" w:sz="4" w:space="0" w:color="auto"/>
            </w:tcBorders>
            <w:vAlign w:val="center"/>
          </w:tcPr>
          <w:p w:rsidR="00CB3553" w:rsidRDefault="00CB3553" w:rsidP="002C18AC">
            <w:pPr>
              <w:pStyle w:val="IQB-Merkmal"/>
            </w:pPr>
            <w:r>
              <w:t>Leitidee</w:t>
            </w:r>
          </w:p>
        </w:tc>
        <w:tc>
          <w:tcPr>
            <w:tcW w:w="6604" w:type="dxa"/>
            <w:tcBorders>
              <w:top w:val="single" w:sz="4" w:space="0" w:color="auto"/>
            </w:tcBorders>
          </w:tcPr>
          <w:p w:rsidR="00CB3553" w:rsidRDefault="00CB3553" w:rsidP="002C18AC">
            <w:pPr>
              <w:pStyle w:val="IQB-Merkmalswert"/>
            </w:pPr>
            <w:r>
              <w:t>1. Zahl</w:t>
            </w:r>
          </w:p>
        </w:tc>
      </w:tr>
      <w:tr w:rsidR="00CB3553" w:rsidTr="00CB3553">
        <w:tc>
          <w:tcPr>
            <w:tcW w:w="2466" w:type="dxa"/>
            <w:vAlign w:val="center"/>
          </w:tcPr>
          <w:p w:rsidR="00CB3553" w:rsidRDefault="00CB3553" w:rsidP="002C18AC">
            <w:pPr>
              <w:pStyle w:val="IQB-Merkmal"/>
            </w:pPr>
            <w:r>
              <w:t>Allgemeine Kompetenz</w:t>
            </w:r>
          </w:p>
        </w:tc>
        <w:tc>
          <w:tcPr>
            <w:tcW w:w="6604" w:type="dxa"/>
          </w:tcPr>
          <w:p w:rsidR="00CB3553" w:rsidRDefault="00CB3553" w:rsidP="002C18AC">
            <w:pPr>
              <w:pStyle w:val="IQB-Merkmalswert"/>
            </w:pPr>
            <w:r w:rsidRPr="00B70563">
              <w:t>Probleme mathematisch lösen (K2)</w:t>
            </w:r>
            <w:r>
              <w:t xml:space="preserve">, </w:t>
            </w:r>
          </w:p>
          <w:p w:rsidR="00CB3553" w:rsidRDefault="00CB3553" w:rsidP="002C18AC">
            <w:pPr>
              <w:pStyle w:val="IQB-Merkmalswert"/>
            </w:pPr>
            <w:r>
              <w:t>Mit Mathematik symbolisch/ formal/ technisch umgehen (K5),</w:t>
            </w:r>
          </w:p>
          <w:p w:rsidR="00CB3553" w:rsidRDefault="00CB3553" w:rsidP="002C18AC">
            <w:pPr>
              <w:pStyle w:val="IQB-Merkmalswert"/>
            </w:pPr>
            <w:r>
              <w:t>Mathematisch kommunizieren (K6)</w:t>
            </w:r>
          </w:p>
        </w:tc>
      </w:tr>
      <w:tr w:rsidR="00CB3553" w:rsidTr="00CB3553">
        <w:tc>
          <w:tcPr>
            <w:tcW w:w="2466" w:type="dxa"/>
            <w:vAlign w:val="center"/>
          </w:tcPr>
          <w:p w:rsidR="00CB3553" w:rsidRDefault="00CB3553" w:rsidP="002C18AC">
            <w:pPr>
              <w:pStyle w:val="IQB-Merkmal"/>
            </w:pPr>
            <w:r>
              <w:t>Anforderungsbereich</w:t>
            </w:r>
          </w:p>
        </w:tc>
        <w:tc>
          <w:tcPr>
            <w:tcW w:w="6604" w:type="dxa"/>
          </w:tcPr>
          <w:p w:rsidR="00CB3553" w:rsidRDefault="00CB3553" w:rsidP="002C18AC">
            <w:pPr>
              <w:pStyle w:val="IQB-Merkmalswert"/>
            </w:pPr>
            <w:r>
              <w:t>II</w:t>
            </w:r>
          </w:p>
        </w:tc>
      </w:tr>
      <w:tr w:rsidR="00CB3553" w:rsidTr="00CB3553">
        <w:tc>
          <w:tcPr>
            <w:tcW w:w="2466" w:type="dxa"/>
            <w:tcBorders>
              <w:bottom w:val="single" w:sz="4" w:space="0" w:color="auto"/>
            </w:tcBorders>
            <w:vAlign w:val="center"/>
          </w:tcPr>
          <w:p w:rsidR="00CB3553" w:rsidRDefault="00CB3553" w:rsidP="002C18AC">
            <w:pPr>
              <w:pStyle w:val="IQB-Merkmal"/>
            </w:pPr>
            <w:r>
              <w:t>Kompetenzstufe</w:t>
            </w:r>
          </w:p>
        </w:tc>
        <w:tc>
          <w:tcPr>
            <w:tcW w:w="6604" w:type="dxa"/>
            <w:tcBorders>
              <w:bottom w:val="single" w:sz="4" w:space="0" w:color="auto"/>
            </w:tcBorders>
          </w:tcPr>
          <w:p w:rsidR="00CB3553" w:rsidRDefault="00CB3553" w:rsidP="002C18AC">
            <w:pPr>
              <w:pStyle w:val="IQB-Merkmalswert"/>
            </w:pPr>
            <w:r>
              <w:t>5</w:t>
            </w:r>
          </w:p>
        </w:tc>
      </w:tr>
    </w:tbl>
    <w:p w:rsidR="00694A63" w:rsidRPr="00694A63" w:rsidRDefault="00694A63" w:rsidP="00694A63">
      <w:pPr>
        <w:pStyle w:val="IQB-Teilaufgabentitel"/>
        <w:rPr>
          <w:b/>
        </w:rPr>
      </w:pPr>
      <w:r w:rsidRPr="00694A63">
        <w:rPr>
          <w:b/>
        </w:rPr>
        <w:t>Aufgabenbezogener Kommentar</w:t>
      </w:r>
    </w:p>
    <w:p w:rsidR="00CB3553" w:rsidRPr="00BB68F3" w:rsidRDefault="00CB3553" w:rsidP="00CB3553">
      <w:pPr>
        <w:pStyle w:val="IQB-Standard"/>
        <w:rPr>
          <w:sz w:val="22"/>
          <w:szCs w:val="22"/>
        </w:rPr>
      </w:pPr>
      <w:r w:rsidRPr="00BB68F3">
        <w:rPr>
          <w:sz w:val="22"/>
          <w:szCs w:val="22"/>
        </w:rPr>
        <w:t>Beide Teilaufgaben sind der Leitidee Zahl (L1) zugeordnet, weil hier Abzählstrategien im Mittelpunkt stehen.</w:t>
      </w:r>
    </w:p>
    <w:p w:rsidR="00CB3553" w:rsidRPr="00BB68F3" w:rsidRDefault="00CB3553" w:rsidP="00CB3553">
      <w:pPr>
        <w:pStyle w:val="IQB-Standard"/>
        <w:rPr>
          <w:sz w:val="22"/>
          <w:szCs w:val="22"/>
        </w:rPr>
      </w:pPr>
      <w:r w:rsidRPr="00BB68F3">
        <w:rPr>
          <w:sz w:val="22"/>
          <w:szCs w:val="22"/>
        </w:rPr>
        <w:t>In der Aufgabenstellung wird zunächst erläutert, wie mit hohen und tiefen Glockenschlägen Uhrzeiten angegeben werden. Die Lernenden müssen diese Erläuterung verstehen und anwenden, um die beiden Teilaufgaben korrekt zu lösen (K6).</w:t>
      </w:r>
    </w:p>
    <w:p w:rsidR="00CB3553" w:rsidRPr="00BB68F3" w:rsidRDefault="00CB3553" w:rsidP="00CB3553">
      <w:pPr>
        <w:pStyle w:val="IQB-Standard"/>
        <w:rPr>
          <w:sz w:val="22"/>
          <w:szCs w:val="22"/>
        </w:rPr>
      </w:pPr>
      <w:r w:rsidRPr="00BB68F3">
        <w:rPr>
          <w:sz w:val="22"/>
          <w:szCs w:val="22"/>
        </w:rPr>
        <w:t>In der ersten Teilaufgabe sollen die Lernenden angeben, wie viele Glockenschläge in einem vorgegebenen Zeitraum insgesamt erklingen. Hierzu können sie auf einfache Abzählstrategien zurückgreifen (K5).</w:t>
      </w:r>
    </w:p>
    <w:p w:rsidR="00CB3553" w:rsidRPr="00BB68F3" w:rsidRDefault="00CB3553" w:rsidP="00CB3553">
      <w:pPr>
        <w:pStyle w:val="IQB-Standard"/>
        <w:rPr>
          <w:sz w:val="22"/>
          <w:szCs w:val="22"/>
        </w:rPr>
      </w:pPr>
      <w:r w:rsidRPr="00BB68F3">
        <w:rPr>
          <w:sz w:val="22"/>
          <w:szCs w:val="22"/>
        </w:rPr>
        <w:t>In der zweiten Teilaufgabe soll umgekehrt eine Aufgabe formuliert werden (K6), deren Ergebnis „10 Glockenschläge“ ist. Hierbei handelt es sich um ein anspruchsvolles, offenes Problem (K2), bei dessen Lösung die Schülerinnen und Schüler wiederum auf verschiedene Abzählstrategien zurückgreifen können (K5).</w:t>
      </w:r>
    </w:p>
    <w:p w:rsidR="00CB3553" w:rsidRPr="00BB68F3" w:rsidRDefault="00CB3553" w:rsidP="00CB3553">
      <w:pPr>
        <w:pStyle w:val="IQB-Standard"/>
        <w:rPr>
          <w:sz w:val="22"/>
          <w:szCs w:val="22"/>
        </w:rPr>
      </w:pPr>
      <w:r w:rsidRPr="00BB68F3">
        <w:rPr>
          <w:sz w:val="22"/>
          <w:szCs w:val="22"/>
        </w:rPr>
        <w:t>Die Teilaufgabe 1 wird dem Anforderungsbereich I zugeordnet, weil die Lernenden hier lediglich einfache Abzählstrategien anwenden müssen. Die Offenheit und der kognitive Anspruch der Problemstellung in Teilaufgabe 2 begründet dagegen deren Zuordnung zu Anforderungsbereich II.</w:t>
      </w:r>
    </w:p>
    <w:p w:rsidR="00694A63" w:rsidRPr="00694A63" w:rsidRDefault="00694A63" w:rsidP="00694A63">
      <w:pPr>
        <w:pStyle w:val="IQB-Teilaufgabentitel"/>
        <w:rPr>
          <w:b/>
        </w:rPr>
      </w:pPr>
      <w:r w:rsidRPr="00694A63">
        <w:rPr>
          <w:b/>
        </w:rPr>
        <w:t>Anregungen für den Unterricht</w:t>
      </w:r>
    </w:p>
    <w:p w:rsidR="00CB3553" w:rsidRPr="00BB68F3" w:rsidRDefault="00CB3553" w:rsidP="00CB3553">
      <w:pPr>
        <w:pStyle w:val="IQB-Standard"/>
        <w:rPr>
          <w:sz w:val="22"/>
          <w:szCs w:val="22"/>
        </w:rPr>
      </w:pPr>
      <w:r w:rsidRPr="00BB68F3">
        <w:rPr>
          <w:sz w:val="22"/>
          <w:szCs w:val="22"/>
        </w:rPr>
        <w:t>Teilaufgabe 2 zeigt exemplarisch, wie mit geringem Aufwand eine offene Aufgabe gestaltet werden kann: Indem Schülerinnen und Schüler zu einem gegebenen Ergebnis eine eigene Aufgabe formulieren. Wie abwechslungsreich die Lösungen sein können, illustrieren die folgenden Schülerlösungen:</w:t>
      </w:r>
    </w:p>
    <w:p w:rsidR="00CB3553" w:rsidRPr="00BB68F3" w:rsidRDefault="00CB3553" w:rsidP="00CB3553">
      <w:pPr>
        <w:pStyle w:val="IQB-Standard"/>
        <w:ind w:left="720"/>
        <w:rPr>
          <w:sz w:val="22"/>
          <w:szCs w:val="22"/>
        </w:rPr>
      </w:pPr>
    </w:p>
    <w:p w:rsidR="00CB3553" w:rsidRDefault="00CB3553" w:rsidP="00CB3553">
      <w:pPr>
        <w:pStyle w:val="IQB-Standard"/>
        <w:ind w:left="720"/>
      </w:pPr>
      <w:r w:rsidRPr="00EA5A3B">
        <w:rPr>
          <w:noProof/>
        </w:rPr>
        <w:drawing>
          <wp:inline distT="0" distB="0" distL="0" distR="0">
            <wp:extent cx="5177790" cy="1235075"/>
            <wp:effectExtent l="0" t="0" r="3810" b="3175"/>
            <wp:docPr id="6" name="Grafik 6"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2.PNG"/>
                    <pic:cNvPicPr>
                      <a:picLocks noChangeAspect="1" noChangeArrowheads="1"/>
                    </pic:cNvPicPr>
                  </pic:nvPicPr>
                  <pic:blipFill>
                    <a:blip r:embed="rId8">
                      <a:extLst>
                        <a:ext uri="{28A0092B-C50C-407E-A947-70E740481C1C}">
                          <a14:useLocalDpi xmlns:a14="http://schemas.microsoft.com/office/drawing/2010/main" val="0"/>
                        </a:ext>
                      </a:extLst>
                    </a:blip>
                    <a:srcRect l="5911" t="43878" r="8871" b="16324"/>
                    <a:stretch>
                      <a:fillRect/>
                    </a:stretch>
                  </pic:blipFill>
                  <pic:spPr bwMode="auto">
                    <a:xfrm>
                      <a:off x="0" y="0"/>
                      <a:ext cx="5177790" cy="1235075"/>
                    </a:xfrm>
                    <a:prstGeom prst="rect">
                      <a:avLst/>
                    </a:prstGeom>
                    <a:noFill/>
                    <a:ln>
                      <a:noFill/>
                    </a:ln>
                  </pic:spPr>
                </pic:pic>
              </a:graphicData>
            </a:graphic>
          </wp:inline>
        </w:drawing>
      </w:r>
    </w:p>
    <w:p w:rsidR="00CB3553" w:rsidRDefault="00CB3553" w:rsidP="00CB3553">
      <w:pPr>
        <w:pStyle w:val="IQB-Standard"/>
        <w:ind w:left="720"/>
      </w:pPr>
    </w:p>
    <w:p w:rsidR="00CB3553" w:rsidRDefault="00CB3553" w:rsidP="00CB3553">
      <w:pPr>
        <w:pStyle w:val="IQB-Standard"/>
        <w:ind w:left="720"/>
      </w:pPr>
    </w:p>
    <w:p w:rsidR="00CB3553" w:rsidRDefault="00CB3553" w:rsidP="00CB3553">
      <w:pPr>
        <w:pStyle w:val="IQB-Standard"/>
        <w:ind w:firstLine="709"/>
      </w:pPr>
      <w:r w:rsidRPr="00EA5A3B">
        <w:rPr>
          <w:noProof/>
        </w:rPr>
        <w:lastRenderedPageBreak/>
        <w:drawing>
          <wp:inline distT="0" distB="0" distL="0" distR="0">
            <wp:extent cx="5201285" cy="772160"/>
            <wp:effectExtent l="0" t="0" r="0" b="8890"/>
            <wp:docPr id="5" name="Grafik 5"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descr="4.PNG"/>
                    <pic:cNvPicPr>
                      <a:picLocks noChangeAspect="1" noChangeArrowheads="1"/>
                    </pic:cNvPicPr>
                  </pic:nvPicPr>
                  <pic:blipFill>
                    <a:blip r:embed="rId9">
                      <a:extLst>
                        <a:ext uri="{28A0092B-C50C-407E-A947-70E740481C1C}">
                          <a14:useLocalDpi xmlns:a14="http://schemas.microsoft.com/office/drawing/2010/main" val="0"/>
                        </a:ext>
                      </a:extLst>
                    </a:blip>
                    <a:srcRect l="3816" t="33484" r="11107" b="41071"/>
                    <a:stretch>
                      <a:fillRect/>
                    </a:stretch>
                  </pic:blipFill>
                  <pic:spPr bwMode="auto">
                    <a:xfrm>
                      <a:off x="0" y="0"/>
                      <a:ext cx="5201285" cy="772160"/>
                    </a:xfrm>
                    <a:prstGeom prst="rect">
                      <a:avLst/>
                    </a:prstGeom>
                    <a:noFill/>
                    <a:ln>
                      <a:noFill/>
                    </a:ln>
                  </pic:spPr>
                </pic:pic>
              </a:graphicData>
            </a:graphic>
          </wp:inline>
        </w:drawing>
      </w:r>
    </w:p>
    <w:p w:rsidR="00CB3553" w:rsidRDefault="00CB3553" w:rsidP="00CB3553">
      <w:pPr>
        <w:pStyle w:val="IQB-Standard"/>
      </w:pPr>
    </w:p>
    <w:p w:rsidR="00CB3553" w:rsidRDefault="00CB3553" w:rsidP="00CB3553">
      <w:pPr>
        <w:pStyle w:val="IQB-Standard"/>
      </w:pPr>
    </w:p>
    <w:p w:rsidR="00CB3553" w:rsidRDefault="00CB3553" w:rsidP="00CB3553">
      <w:pPr>
        <w:pStyle w:val="IQB-Standard"/>
        <w:ind w:firstLine="709"/>
      </w:pPr>
      <w:r w:rsidRPr="00EA5A3B">
        <w:rPr>
          <w:noProof/>
        </w:rPr>
        <w:drawing>
          <wp:inline distT="0" distB="0" distL="0" distR="0">
            <wp:extent cx="5177790" cy="724535"/>
            <wp:effectExtent l="0" t="0" r="3810" b="0"/>
            <wp:docPr id="4" name="Grafik 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descr="3.PNG"/>
                    <pic:cNvPicPr>
                      <a:picLocks noChangeAspect="1" noChangeArrowheads="1"/>
                    </pic:cNvPicPr>
                  </pic:nvPicPr>
                  <pic:blipFill>
                    <a:blip r:embed="rId10">
                      <a:extLst>
                        <a:ext uri="{28A0092B-C50C-407E-A947-70E740481C1C}">
                          <a14:useLocalDpi xmlns:a14="http://schemas.microsoft.com/office/drawing/2010/main" val="0"/>
                        </a:ext>
                      </a:extLst>
                    </a:blip>
                    <a:srcRect l="7297" t="43953" r="8192" b="32883"/>
                    <a:stretch>
                      <a:fillRect/>
                    </a:stretch>
                  </pic:blipFill>
                  <pic:spPr bwMode="auto">
                    <a:xfrm>
                      <a:off x="0" y="0"/>
                      <a:ext cx="5177790" cy="724535"/>
                    </a:xfrm>
                    <a:prstGeom prst="rect">
                      <a:avLst/>
                    </a:prstGeom>
                    <a:noFill/>
                    <a:ln>
                      <a:noFill/>
                    </a:ln>
                  </pic:spPr>
                </pic:pic>
              </a:graphicData>
            </a:graphic>
          </wp:inline>
        </w:drawing>
      </w:r>
    </w:p>
    <w:p w:rsidR="00CB3553" w:rsidRDefault="00CB3553" w:rsidP="00CB3553">
      <w:pPr>
        <w:pStyle w:val="IQB-Standard"/>
        <w:rPr>
          <w:sz w:val="22"/>
          <w:szCs w:val="22"/>
        </w:rPr>
      </w:pPr>
    </w:p>
    <w:p w:rsidR="00CB3553" w:rsidRPr="00BB68F3" w:rsidRDefault="00CB3553" w:rsidP="00CB3553">
      <w:pPr>
        <w:pStyle w:val="IQB-Standard"/>
        <w:rPr>
          <w:sz w:val="22"/>
          <w:szCs w:val="22"/>
        </w:rPr>
      </w:pPr>
    </w:p>
    <w:p w:rsidR="00CB3553" w:rsidRPr="00BB68F3" w:rsidRDefault="00CB3553" w:rsidP="00CB3553">
      <w:pPr>
        <w:pStyle w:val="IQB-Standard"/>
        <w:rPr>
          <w:sz w:val="22"/>
          <w:szCs w:val="22"/>
        </w:rPr>
      </w:pPr>
      <w:r w:rsidRPr="00BB68F3">
        <w:rPr>
          <w:sz w:val="22"/>
          <w:szCs w:val="22"/>
        </w:rPr>
        <w:t>Fehlkonzepte lassen sich immer dann feststellen, wenn der Kontext, d.</w:t>
      </w:r>
      <w:r>
        <w:rPr>
          <w:sz w:val="11"/>
          <w:szCs w:val="11"/>
        </w:rPr>
        <w:t> </w:t>
      </w:r>
      <w:r w:rsidRPr="00BB68F3">
        <w:rPr>
          <w:sz w:val="22"/>
          <w:szCs w:val="22"/>
        </w:rPr>
        <w:t>h. die Angaben aus dem einleitenden Text nicht richtig umgesetzt werden. So werden bei den folgenden Schülerlösungen z.</w:t>
      </w:r>
      <w:r>
        <w:rPr>
          <w:sz w:val="11"/>
          <w:szCs w:val="11"/>
        </w:rPr>
        <w:t> </w:t>
      </w:r>
      <w:r w:rsidRPr="00BB68F3">
        <w:rPr>
          <w:sz w:val="22"/>
          <w:szCs w:val="22"/>
        </w:rPr>
        <w:t>B. die hohen Glockenschläge zur Viertel-Stunde nicht berücksichtigt.</w:t>
      </w:r>
    </w:p>
    <w:p w:rsidR="00CB3553" w:rsidRDefault="00CB3553" w:rsidP="00CB3553">
      <w:pPr>
        <w:pStyle w:val="IQB-Standard"/>
      </w:pPr>
    </w:p>
    <w:p w:rsidR="00CB3553" w:rsidRDefault="00CB3553" w:rsidP="00CB3553">
      <w:pPr>
        <w:pStyle w:val="IQB-Standard"/>
        <w:ind w:left="709"/>
      </w:pPr>
      <w:r w:rsidRPr="00EA5A3B">
        <w:rPr>
          <w:noProof/>
        </w:rPr>
        <w:drawing>
          <wp:inline distT="0" distB="0" distL="0" distR="0">
            <wp:extent cx="5153660" cy="712470"/>
            <wp:effectExtent l="0" t="0" r="8890" b="0"/>
            <wp:docPr id="3" name="Grafik 3"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descr="4.PNG"/>
                    <pic:cNvPicPr>
                      <a:picLocks noChangeAspect="1" noChangeArrowheads="1"/>
                    </pic:cNvPicPr>
                  </pic:nvPicPr>
                  <pic:blipFill>
                    <a:blip r:embed="rId11">
                      <a:extLst>
                        <a:ext uri="{28A0092B-C50C-407E-A947-70E740481C1C}">
                          <a14:useLocalDpi xmlns:a14="http://schemas.microsoft.com/office/drawing/2010/main" val="0"/>
                        </a:ext>
                      </a:extLst>
                    </a:blip>
                    <a:srcRect l="2966" t="30792" r="11710" b="46132"/>
                    <a:stretch>
                      <a:fillRect/>
                    </a:stretch>
                  </pic:blipFill>
                  <pic:spPr bwMode="auto">
                    <a:xfrm>
                      <a:off x="0" y="0"/>
                      <a:ext cx="5153660" cy="712470"/>
                    </a:xfrm>
                    <a:prstGeom prst="rect">
                      <a:avLst/>
                    </a:prstGeom>
                    <a:noFill/>
                    <a:ln>
                      <a:noFill/>
                    </a:ln>
                  </pic:spPr>
                </pic:pic>
              </a:graphicData>
            </a:graphic>
          </wp:inline>
        </w:drawing>
      </w:r>
    </w:p>
    <w:p w:rsidR="00CB3553" w:rsidRDefault="00CB3553" w:rsidP="00CB3553">
      <w:pPr>
        <w:pStyle w:val="IQB-Standard"/>
      </w:pPr>
      <w:r>
        <w:tab/>
      </w:r>
      <w:bookmarkStart w:id="0" w:name="_GoBack"/>
      <w:r w:rsidRPr="00EA5A3B">
        <w:rPr>
          <w:noProof/>
        </w:rPr>
        <w:drawing>
          <wp:inline distT="0" distB="0" distL="0" distR="0">
            <wp:extent cx="5165725" cy="1840865"/>
            <wp:effectExtent l="0" t="0" r="0" b="6985"/>
            <wp:docPr id="2" name="Grafik 2"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descr="2.PNG"/>
                    <pic:cNvPicPr>
                      <a:picLocks noChangeAspect="1" noChangeArrowheads="1"/>
                    </pic:cNvPicPr>
                  </pic:nvPicPr>
                  <pic:blipFill>
                    <a:blip r:embed="rId12">
                      <a:extLst>
                        <a:ext uri="{28A0092B-C50C-407E-A947-70E740481C1C}">
                          <a14:useLocalDpi xmlns:a14="http://schemas.microsoft.com/office/drawing/2010/main" val="0"/>
                        </a:ext>
                      </a:extLst>
                    </a:blip>
                    <a:srcRect l="2573" t="32730" r="11281" b="6357"/>
                    <a:stretch>
                      <a:fillRect/>
                    </a:stretch>
                  </pic:blipFill>
                  <pic:spPr bwMode="auto">
                    <a:xfrm>
                      <a:off x="0" y="0"/>
                      <a:ext cx="5165725" cy="1840865"/>
                    </a:xfrm>
                    <a:prstGeom prst="rect">
                      <a:avLst/>
                    </a:prstGeom>
                    <a:noFill/>
                    <a:ln>
                      <a:noFill/>
                    </a:ln>
                  </pic:spPr>
                </pic:pic>
              </a:graphicData>
            </a:graphic>
          </wp:inline>
        </w:drawing>
      </w:r>
      <w:bookmarkEnd w:id="0"/>
    </w:p>
    <w:p w:rsidR="00CB3553" w:rsidRDefault="00CB3553" w:rsidP="00CB3553">
      <w:pPr>
        <w:pStyle w:val="IQB-Standard"/>
      </w:pPr>
    </w:p>
    <w:p w:rsidR="00CB3553" w:rsidRDefault="00CB3553" w:rsidP="00CB3553">
      <w:pPr>
        <w:pStyle w:val="IQB-Standard"/>
      </w:pPr>
    </w:p>
    <w:p w:rsidR="00CB3553" w:rsidRPr="00BB68F3" w:rsidRDefault="00CB3553" w:rsidP="00CB3553">
      <w:pPr>
        <w:pStyle w:val="IQB-Standard"/>
        <w:rPr>
          <w:noProof/>
          <w:sz w:val="22"/>
          <w:szCs w:val="22"/>
        </w:rPr>
      </w:pPr>
      <w:r w:rsidRPr="00BB68F3">
        <w:rPr>
          <w:noProof/>
          <w:sz w:val="22"/>
          <w:szCs w:val="22"/>
        </w:rPr>
        <w:t>Die zusätzliche Teilaufgabe zeigt, wie die Aufgabe noch erweitert werden kann. Damit wird gezeigt, wie aus einem einfach zu erfassenden und lebensnahen Kontext vielfältige Aufgaben zur Leitidee Zahl (L1) entstehen können.</w:t>
      </w:r>
    </w:p>
    <w:p w:rsidR="00CB3553" w:rsidRPr="00BB68F3" w:rsidRDefault="00CB3553" w:rsidP="00CB3553">
      <w:pPr>
        <w:pStyle w:val="IQB-Standard"/>
        <w:rPr>
          <w:noProof/>
          <w:sz w:val="22"/>
          <w:szCs w:val="22"/>
        </w:rPr>
      </w:pPr>
      <w:r>
        <w:rPr>
          <w:noProof/>
        </w:rPr>
        <mc:AlternateContent>
          <mc:Choice Requires="wps">
            <w:drawing>
              <wp:anchor distT="0" distB="0" distL="114299" distR="114299" simplePos="0" relativeHeight="251659264" behindDoc="0" locked="0" layoutInCell="1" allowOverlap="1">
                <wp:simplePos x="0" y="0"/>
                <wp:positionH relativeFrom="column">
                  <wp:posOffset>-128905</wp:posOffset>
                </wp:positionH>
                <wp:positionV relativeFrom="paragraph">
                  <wp:posOffset>184150</wp:posOffset>
                </wp:positionV>
                <wp:extent cx="1905" cy="1305560"/>
                <wp:effectExtent l="28575" t="33655" r="36195" b="32385"/>
                <wp:wrapNone/>
                <wp:docPr id="7" name="Freihandform: 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 cy="1305560"/>
                        </a:xfrm>
                        <a:custGeom>
                          <a:avLst/>
                          <a:gdLst>
                            <a:gd name="T0" fmla="*/ 3 w 3"/>
                            <a:gd name="T1" fmla="*/ 0 h 2056"/>
                            <a:gd name="T2" fmla="*/ 0 w 3"/>
                            <a:gd name="T3" fmla="*/ 2056 h 2056"/>
                          </a:gdLst>
                          <a:ahLst/>
                          <a:cxnLst>
                            <a:cxn ang="0">
                              <a:pos x="T0" y="T1"/>
                            </a:cxn>
                            <a:cxn ang="0">
                              <a:pos x="T2" y="T3"/>
                            </a:cxn>
                          </a:cxnLst>
                          <a:rect l="0" t="0" r="r" b="b"/>
                          <a:pathLst>
                            <a:path w="3" h="2056">
                              <a:moveTo>
                                <a:pt x="3" y="0"/>
                              </a:moveTo>
                              <a:lnTo>
                                <a:pt x="0" y="2056"/>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CCC5379" id="Freihandform: Form 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10pt,14.5pt,-10.15pt,117.3pt" coordsize="3,20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" filled="f" strokecolor="#bfbfbf" strokeweight="4.5pt">
                <v:path arrowok="t" o:connecttype="custom" o:connectlocs="1905,0;0,1305560" o:connectangles="0,0"/>
              </v:poly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286"/>
      </w:tblGrid>
      <w:tr w:rsidR="00CB3553" w:rsidRPr="00BB68F3" w:rsidTr="002C18AC">
        <w:tc>
          <w:tcPr>
            <w:tcW w:w="9286" w:type="dxa"/>
            <w:vAlign w:val="center"/>
          </w:tcPr>
          <w:p w:rsidR="00CB3553" w:rsidRPr="0057555B" w:rsidRDefault="00CB3553" w:rsidP="002C18AC">
            <w:pPr>
              <w:pStyle w:val="IQB-Standard"/>
              <w:rPr>
                <w:sz w:val="22"/>
                <w:szCs w:val="22"/>
              </w:rPr>
            </w:pPr>
            <w:r w:rsidRPr="0057555B">
              <w:rPr>
                <w:sz w:val="22"/>
                <w:szCs w:val="22"/>
              </w:rPr>
              <w:t>Gib an, wie oft die tiefen und hohen Töne der Rathausuhr insgesamt an einem Tag erklingen.</w:t>
            </w:r>
          </w:p>
          <w:p w:rsidR="00CB3553" w:rsidRPr="0057555B" w:rsidRDefault="00CB3553" w:rsidP="002C18AC">
            <w:pPr>
              <w:pStyle w:val="IQB-Standard"/>
              <w:rPr>
                <w:sz w:val="22"/>
                <w:szCs w:val="22"/>
              </w:rPr>
            </w:pPr>
          </w:p>
          <w:p w:rsidR="00CB3553" w:rsidRPr="0057555B" w:rsidRDefault="00CB3553" w:rsidP="002C18AC">
            <w:pPr>
              <w:pStyle w:val="IQB-Standard"/>
              <w:rPr>
                <w:sz w:val="22"/>
                <w:szCs w:val="22"/>
              </w:rPr>
            </w:pPr>
            <w:r w:rsidRPr="0057555B">
              <w:rPr>
                <w:sz w:val="22"/>
                <w:szCs w:val="22"/>
              </w:rPr>
              <w:t>……………………… -mal</w:t>
            </w:r>
          </w:p>
          <w:p w:rsidR="00CB3553" w:rsidRPr="0057555B" w:rsidRDefault="00CB3553" w:rsidP="002C18AC">
            <w:pPr>
              <w:pStyle w:val="IQB-Standard"/>
              <w:rPr>
                <w:sz w:val="22"/>
                <w:szCs w:val="22"/>
              </w:rPr>
            </w:pPr>
          </w:p>
          <w:p w:rsidR="00CB3553" w:rsidRPr="0057555B" w:rsidRDefault="00CB3553" w:rsidP="002C18AC">
            <w:pPr>
              <w:pStyle w:val="IQB-Standard"/>
              <w:rPr>
                <w:sz w:val="22"/>
                <w:szCs w:val="22"/>
              </w:rPr>
            </w:pPr>
            <w:r w:rsidRPr="0057555B">
              <w:rPr>
                <w:sz w:val="22"/>
                <w:szCs w:val="22"/>
              </w:rPr>
              <w:t>Notiere deinen Rechenweg.</w:t>
            </w:r>
          </w:p>
        </w:tc>
      </w:tr>
    </w:tbl>
    <w:p w:rsidR="00694A63" w:rsidRPr="007E6CC0" w:rsidRDefault="00694A63" w:rsidP="009C235D">
      <w:pPr>
        <w:pStyle w:val="IQB-Standard"/>
        <w:rPr>
          <w:sz w:val="22"/>
          <w:szCs w:val="22"/>
        </w:rPr>
      </w:pPr>
    </w:p>
    <w:sectPr w:rsidR="00694A63" w:rsidRPr="007E6CC0" w:rsidSect="00DB65DC">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D69D73A3-842F-4DBF-AC3A-4FFFD7065647}"/>
    <w:embedBold r:id="rId2" w:fontKey="{4607ED4D-46CB-47BB-A132-B5536DCB7E92}"/>
    <w:embedBoldItalic r:id="rId3" w:fontKey="{EAE4D84E-2F83-427B-9F98-E89EB1AEBB2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6"/>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6A6F62CD"/>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B32D28-5036-41E9-BFFE-6951AEDE58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328</Words>
  <Characters>2251</Characters>
  <Application>Microsoft Office Word</Application>
  <DocSecurity>0</DocSecurity>
  <Lines>50</Lines>
  <Paragraphs>29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2025-05-22T13:41:00Z</dcterms:created>
  <dcterms:modified xsi:type="dcterms:W3CDTF">2025-05-22T13:41:00Z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